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bookmarkStart w:colFirst="0" w:colLast="0" w:name="_b33m3xswomo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highlight w:val="white"/>
        </w:rPr>
      </w:pPr>
      <w:r w:rsidDel="00000000" w:rsidR="00000000" w:rsidRPr="00000000">
        <w:rPr>
          <w:b w:val="1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1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1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ЗАПРОШЕННЯ</w:t>
      </w:r>
    </w:p>
    <w:p w:rsidR="00000000" w:rsidDel="00000000" w:rsidP="00000000" w:rsidRDefault="00000000" w:rsidRPr="00000000" w14:paraId="00000006">
      <w:pPr>
        <w:widowControl w:val="0"/>
        <w:spacing w:line="251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  участі в конкурсі 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на закупівлю комп'ютерної техніки та кондиціонерів</w:t>
      </w:r>
      <w:r w:rsidDel="00000000" w:rsidR="00000000" w:rsidRPr="00000000">
        <w:rPr>
          <w:b w:val="1"/>
          <w:rtl w:val="0"/>
        </w:rPr>
        <w:t xml:space="preserve"> в рамках проєкту </w:t>
      </w:r>
      <w:r w:rsidDel="00000000" w:rsidR="00000000" w:rsidRPr="00000000">
        <w:rPr>
          <w:b w:val="1"/>
          <w:highlight w:val="white"/>
          <w:rtl w:val="0"/>
        </w:rPr>
        <w:t xml:space="preserve">“Відновлення та посилення спроможностей громад (HREF)”</w:t>
      </w:r>
      <w:r w:rsidDel="00000000" w:rsidR="00000000" w:rsidRPr="00000000">
        <w:rPr>
          <w:b w:val="1"/>
          <w:rtl w:val="0"/>
        </w:rPr>
        <w:t xml:space="preserve">  для громад Миколаївської, Харківської та Кіровоградської  областей</w:t>
      </w:r>
    </w:p>
    <w:p w:rsidR="00000000" w:rsidDel="00000000" w:rsidP="00000000" w:rsidRDefault="00000000" w:rsidRPr="00000000" w14:paraId="00000007">
      <w:pPr>
        <w:widowControl w:val="0"/>
        <w:spacing w:line="251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112" w:right="106" w:firstLine="45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112" w:right="106" w:firstLine="45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Місцева Асоціація органів місцевого самоврядування  “Асоціація учасницького розвитку громад” запрошує зацікавлених постачальників взяти участь у конкурсі  </w:t>
      </w:r>
      <w:r w:rsidDel="00000000" w:rsidR="00000000" w:rsidRPr="00000000">
        <w:rPr>
          <w:b w:val="1"/>
          <w:u w:val="single"/>
          <w:rtl w:val="0"/>
        </w:rPr>
        <w:t xml:space="preserve">на закупівлю комп'ютерної техніки та кондиціонерів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(деталі наведено у Специфікації (Додаток 1)).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20" w:right="106" w:hanging="15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right="106" w:firstLine="566"/>
        <w:jc w:val="both"/>
        <w:rPr/>
      </w:pPr>
      <w:r w:rsidDel="00000000" w:rsidR="00000000" w:rsidRPr="00000000">
        <w:rPr>
          <w:rtl w:val="0"/>
        </w:rPr>
        <w:t xml:space="preserve">У разі зацікавленості просимо надсилати ваші конкурсні пропозиції до </w:t>
      </w:r>
      <w:r w:rsidDel="00000000" w:rsidR="00000000" w:rsidRPr="00000000">
        <w:rPr>
          <w:b w:val="1"/>
          <w:rtl w:val="0"/>
        </w:rPr>
        <w:t xml:space="preserve">23:59 24.10.2025 </w:t>
      </w:r>
      <w:r w:rsidDel="00000000" w:rsidR="00000000" w:rsidRPr="00000000">
        <w:rPr>
          <w:rtl w:val="0"/>
        </w:rPr>
        <w:t xml:space="preserve">року на електронну адресу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 із темою листа  “</w:t>
      </w:r>
      <w:r w:rsidDel="00000000" w:rsidR="00000000" w:rsidRPr="00000000">
        <w:rPr>
          <w:b w:val="1"/>
          <w:rtl w:val="0"/>
        </w:rPr>
        <w:t xml:space="preserve">Пропозиція н</w:t>
      </w:r>
      <w:r w:rsidDel="00000000" w:rsidR="00000000" w:rsidRPr="00000000">
        <w:rPr>
          <w:b w:val="1"/>
          <w:rtl w:val="0"/>
        </w:rPr>
        <w:t xml:space="preserve">а комп'ютерної техніки та кондиціонерів</w:t>
      </w:r>
      <w:r w:rsidDel="00000000" w:rsidR="00000000" w:rsidRPr="00000000">
        <w:rPr>
          <w:rtl w:val="0"/>
        </w:rPr>
        <w:t xml:space="preserve">”.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right="106" w:firstLine="566"/>
        <w:jc w:val="both"/>
        <w:rPr/>
      </w:pPr>
      <w:r w:rsidDel="00000000" w:rsidR="00000000" w:rsidRPr="00000000">
        <w:rPr>
          <w:rtl w:val="0"/>
        </w:rPr>
        <w:t xml:space="preserve">Пропозиції мають бути оформлені українською мовою у вигляді повного комплекту конкурсної документації.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right="106" w:firstLine="566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Вимоги до конкурсної документації: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1. Копії документів, що підтверджують державну реєстрацію учасника та наявність відповідного КВЕДу.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2. Комерційна пропозиція (див. зразок - Додаток 2).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- подається українською мовою;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- підписується уповноваженою особою та завіряється печаткою (за наявності).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Пропозиції, оформлені неналежним чином, з неповним комплектом документів або подані після встановленого терміну, не будуть допущені до розгляду.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Технічні та організаційні питання: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1) Надсилаються ВИКЛЮЧНО письмово на електронну адресу: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2) не пізніше ніж за 6 годин до завершення конкурсу;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3) з обов’язковим зазначенням назви конкурсу в темі листа.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Місцева Асоціація органів місцевого самоврядування «Асоціація учасницького розвитку громад» зі своєї сторони гарантує конфіденційність інформації, поданої в конкурсних пропозиціях .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right="10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112" w:right="106" w:firstLine="56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Підведення підсумків конкурсу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Оцінювання конкурсних пропозицій здійснюється у два етапи: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spacing w:line="240" w:lineRule="auto"/>
        <w:ind w:left="720" w:right="106" w:hanging="360"/>
        <w:jc w:val="both"/>
      </w:pPr>
      <w:r w:rsidDel="00000000" w:rsidR="00000000" w:rsidRPr="00000000">
        <w:rPr>
          <w:rtl w:val="0"/>
        </w:rPr>
        <w:t xml:space="preserve">Формальна оцінка відповідності вимогам.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spacing w:line="240" w:lineRule="auto"/>
        <w:ind w:left="720" w:right="106" w:hanging="360"/>
        <w:jc w:val="both"/>
      </w:pPr>
      <w:r w:rsidDel="00000000" w:rsidR="00000000" w:rsidRPr="00000000">
        <w:rPr>
          <w:rtl w:val="0"/>
        </w:rPr>
        <w:t xml:space="preserve">Цінова оцінка конкурсних пропозицій.</w:t>
      </w:r>
    </w:p>
    <w:p w:rsidR="00000000" w:rsidDel="00000000" w:rsidP="00000000" w:rsidRDefault="00000000" w:rsidRPr="00000000" w14:paraId="0000001E">
      <w:pPr>
        <w:widowControl w:val="0"/>
        <w:spacing w:line="24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9" w:lineRule="auto"/>
        <w:ind w:right="-324.3307086614169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За результатами закупівлі з переможцем буде укладено тристоронній договір поставки між: Асоціацією – платником; Громадою – одержувачем негрошової допомоги; Постачальником – виконавцем (постачальником товару).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Постачання товару та передача його громаді оформлюються тристоронніми накладними.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Оплата здійснюється після постачання товару та підписання всіх документів,  з можливістю авансового платежу до 50% від вартості за погодженням сторін.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Розрахунки проводяться у національній валюті (гривні) шляхом банківського переказу на рахунок постачальника.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right="-324.330708661416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720" w:right="4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Інші умови: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3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Технічні, фінансові, організаційні та інші умови конкурсу не є публічною офертою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3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Асоціація залишає за собою право не розголошувати жодних подробиць оцінювання пропозицій, а також відхилити будь-яку пропозицію в на будь-якому етапі без пояснення причин і без відповідальності за прийняте рішення.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  <w:t xml:space="preserve">Асоціація діє відповідно до принципів прозорості, недискримінації, рівності можливостей і гендерної чутливості, з урахуванням потреб усіх вразливих груп населення.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112" w:firstLine="56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Додатки до запрошення: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  <w:t xml:space="preserve">1.Специфікація</w:t>
        <w:tab/>
        <w:tab/>
        <w:tab/>
        <w:tab/>
        <w:t xml:space="preserve">2. Форма комерційної  пропозиції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center" w:leader="none" w:pos="4677"/>
        <w:tab w:val="right" w:leader="none" w:pos="9355"/>
      </w:tabs>
      <w:spacing w:line="240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1383506" cy="3667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ssociationcpdev@gmail.com" TargetMode="External"/><Relationship Id="rId7" Type="http://schemas.openxmlformats.org/officeDocument/2006/relationships/hyperlink" Target="mailto:associationcpdev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