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Додаток 1 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Місцева Асоціація органів місцевого самоврядування  “Асоціація учасницького розвитку громад” - виконавчий партнер у Миколаївській, Харківській та Кіровоградській областях  у межах проєкту Міжнародної організації з міграції (далі - МОМ)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251" w:lineRule="auto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251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СПЕЦИФІКАЦІЯ</w:t>
      </w:r>
    </w:p>
    <w:p w:rsidR="00000000" w:rsidDel="00000000" w:rsidP="00000000" w:rsidRDefault="00000000" w:rsidRPr="00000000" w14:paraId="00000008">
      <w:pPr>
        <w:widowControl w:val="0"/>
        <w:spacing w:line="251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до  участі в конкурсі  на закупівлю медичного обладнання  в рамках проєкту “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white"/>
          <w:rtl w:val="0"/>
        </w:rPr>
        <w:t xml:space="preserve">Відновлення та посилення спроможностей громад (HREF)”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 для громад Кіровоградської  областей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010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5"/>
        <w:gridCol w:w="3090"/>
        <w:gridCol w:w="915"/>
        <w:gridCol w:w="885"/>
        <w:gridCol w:w="5145"/>
        <w:tblGridChange w:id="0">
          <w:tblGrid>
            <w:gridCol w:w="975"/>
            <w:gridCol w:w="3090"/>
            <w:gridCol w:w="915"/>
            <w:gridCol w:w="885"/>
            <w:gridCol w:w="514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Лот №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Найменування та опис послуги:</w:t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Од. Вим.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К-ть послуг</w:t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Деталізація специфікації: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Механічний операційний стіл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Розміри стола 2070×550 мм</w:t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Діапазон регулювання висоти 700-1000 мм</w:t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Діапазон регулювання підголовника -90°/+45°</w:t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Діапазон регулювання спинної секції -20°/+90°</w:t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Ножна секція (вгору/вниз/вбоки) 15°/90°/90°</w:t>
            </w:r>
          </w:p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Висота регулювання ниркового валику 160 мм</w:t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Поздовжній зсув350 мм</w:t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Бічний нахил (вліво/вправо) 15°/15°</w:t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Тренделенбург/зворотний Тренделенбург 25°/-25°</w:t>
            </w:r>
          </w:p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Максимальна вага пацієнта 200 кг</w:t>
            </w:r>
          </w:p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Маса стола 250 кг</w:t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Матрац- Піна з ефектом пам’яті</w:t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Електроживлення 220 В, 50/60 Гц, 1.0 кВт</w:t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Додаткові характеристики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br w:type="textWrapping"/>
              <w:t xml:space="preserve">Сучасний і багатофункціональний операційний стіл, який можна застосувати для більшості загальних операцій грудної, черевної порожнини, гінекології та акушерства, ортопедичного відділення. Рентгенопрозора поверхня на 5 основних секцій. Підставка і ліжко з нержавіючої сталі. Тверді матеріали м'яких елементів легко миються і дезінфікуються.</w:t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Стандартна комплектація:</w:t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Анестезіологічна ширма - 1 шт.</w:t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Підтримувач торса - 1 шт.</w:t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Підтримувач плеча - 2 шт.</w:t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Підтримувач руки - 2 шт.</w:t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Підтримувач ноги - 2 шт.</w:t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Підтримувач колін - 2 шт.</w:t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Нирковий валик - 1 шт.</w:t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Фіксуючі ремені - 1 компл.</w:t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Піддон - 1 шт.</w:t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Підставка для ніг - 2 шт.</w:t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* Можливі опції:</w:t>
            </w:r>
          </w:p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Фіксатор голови</w:t>
            </w:r>
          </w:p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Ортопедична тракційна приставка</w:t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Бокові підтримувачі рук</w:t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Лоток для інструменту</w:t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Хірургічний підтримувач руки</w:t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 Підставка для операцій на передміхуровій залозі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Лазер хірургічний діодний</w:t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шт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Довжина хвилі робочого лазерного випромінювання*: 1940 нм.</w:t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Потужність робочого лазерного випромінювання (ступінчасте регулювання потужності від 1 Вт до максимального значення)**: 30 Вт.</w:t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Довжина хвилі лазера-пілота: 660 нм.</w:t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Потужність випромінювання лазера-пілота: 0,5; 1,0; 1,5; 2,0; 2,5; 3,0; 3,5; 4,0; 4,5; 5,0мВт.</w:t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Тривалість випромінювання у режимі «НОРМА»: 0,05; 0,1; 0,2; 0,5; 1,0; 2,0; 3,0; 4,0; 5,0; 10 с та безперервне випромінювання.</w:t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Модуляція імпульсів випромінювання в режимі «ІМПУЛЬС»:</w:t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Різноманітні комбінації тривалості імпульсу та паузи.</w:t>
            </w:r>
          </w:p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Тривалість імпульсу – 10; 20; 30; 40; 50; 70; 100; 150; 200; 300; 400; 500; 700; 1000 мс.</w:t>
            </w:r>
          </w:p>
          <w:p w:rsidR="00000000" w:rsidDel="00000000" w:rsidP="00000000" w:rsidRDefault="00000000" w:rsidRPr="00000000" w14:paraId="00000040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Тривалість паузи – 10; 20; 30; 40; 50; 70; 100; 150; 200; 300; 400; 500; 700; 1000 мс.</w:t>
            </w:r>
          </w:p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Діаметр оптичного волокна: 300; 400; 600 мкм.</w:t>
            </w:r>
          </w:p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Споживана потужність: 220В/600Вт.</w:t>
            </w:r>
          </w:p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Габаритні розміри: 280х390х170 мм.</w:t>
            </w:r>
          </w:p>
          <w:p w:rsidR="00000000" w:rsidDel="00000000" w:rsidP="00000000" w:rsidRDefault="00000000" w:rsidRPr="00000000" w14:paraId="00000044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Маса апарата (нетто): не більше 9 кг.</w:t>
            </w:r>
          </w:p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Спеціальні умови:</w:t>
      </w:r>
    </w:p>
    <w:p w:rsidR="00000000" w:rsidDel="00000000" w:rsidP="00000000" w:rsidRDefault="00000000" w:rsidRPr="00000000" w14:paraId="0000004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1.  Ціна пропозиції має включати всі можливі витрати постачальника, у тому числі податки, збори, транспортні, пакувальні та інші супутні витрати.</w:t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2. Замовник залишає за собою право не викуповувати окремі позиції у переможця, якщо вони не відповідають технічним вимогам або характеристикам, визначеним у специфікації. У такому випадку відповідні позиції можуть бути передані учаснику, який запропонував наступну найнижчу ціну за цими позиціями.</w:t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3. Пропозиція має охоплювати повну кількості одиниць у межах одного лоту. У разі, якщо учасник подає неповну пропозицію за лотом, така пропозиція не розглядатиметься. </w:t>
      </w:r>
    </w:p>
    <w:p w:rsidR="00000000" w:rsidDel="00000000" w:rsidP="00000000" w:rsidRDefault="00000000" w:rsidRPr="00000000" w14:paraId="0000004B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4. Просимо постачальників надавати свої пропозиції у форматі, максимально наближеному до наведеної технічної специфікації.</w:t>
      </w:r>
    </w:p>
    <w:p w:rsidR="00000000" w:rsidDel="00000000" w:rsidP="00000000" w:rsidRDefault="00000000" w:rsidRPr="00000000" w14:paraId="0000004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5. У вартість товару обов’язково має бути включена доставка до місця призначення в Олександрівську громаду Кіровоградської області. Точна адреса доставки буде повідомлена під час укладання Договору.</w:t>
      </w:r>
    </w:p>
    <w:p w:rsidR="00000000" w:rsidDel="00000000" w:rsidP="00000000" w:rsidRDefault="00000000" w:rsidRPr="00000000" w14:paraId="0000004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6. Всі товари, що поставляються повинні бути цілими, новими, такими, що не були у використанні в т.ч в якості демонстраційного зразка та не експонувалися на виставках, без пошкоджень заводської упаковки та її змісту, мати відповідне маркування.</w:t>
      </w:r>
    </w:p>
    <w:p w:rsidR="00000000" w:rsidDel="00000000" w:rsidP="00000000" w:rsidRDefault="00000000" w:rsidRPr="00000000" w14:paraId="0000004E">
      <w:pPr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jc w:val="righ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850" w:right="81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tabs>
        <w:tab w:val="center" w:leader="none" w:pos="4677"/>
        <w:tab w:val="right" w:leader="none" w:pos="9355"/>
      </w:tabs>
      <w:jc w:val="center"/>
      <w:rPr/>
    </w:pPr>
    <w:r w:rsidDel="00000000" w:rsidR="00000000" w:rsidRPr="00000000">
      <w:rPr>
        <w:rFonts w:ascii="Arial" w:cs="Arial" w:eastAsia="Arial" w:hAnsi="Arial"/>
        <w:sz w:val="22"/>
        <w:szCs w:val="22"/>
      </w:rPr>
      <w:drawing>
        <wp:inline distB="114300" distT="114300" distL="114300" distR="114300">
          <wp:extent cx="1383506" cy="366713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3506" cy="3667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F8756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1" w:customStyle="1">
    <w:name w:val="Без інтервалів1"/>
    <w:rsid w:val="00F8756E"/>
    <w:pPr>
      <w:spacing w:after="0" w:line="240" w:lineRule="auto"/>
    </w:pPr>
    <w:rPr>
      <w:rFonts w:ascii="Calibri" w:cs="Times New Roman" w:eastAsia="Times New Roman" w:hAnsi="Calibri"/>
      <w:lang w:val="ru-RU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y4pKeU10cQF/+MQXtbXSC347pg==">CgMxLjA4AHIhMTVGS1RSbzFncVhZcUpsLTZ1cy1rOHJPTzRCOUFJanlp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2023-05-03T08:43:00Z</dcterms:created>
  <dc:creator>Наталия Бут</dc:creator>
</cp:coreProperties>
</file>