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Додаток 1 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Місцева Асоціація органів місцевого самоврядування  “Асоціація учасницького розвитку громад” - виконавчий партнер у Миколаївській, Харківській та Кіровоградській областях  у межах проєкту Міжнародної організації з міграції (далі - МОМ)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51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51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СПЕЦИФІКАЦІЯ</w:t>
      </w:r>
    </w:p>
    <w:p w:rsidR="00000000" w:rsidDel="00000000" w:rsidP="00000000" w:rsidRDefault="00000000" w:rsidRPr="00000000" w14:paraId="00000009">
      <w:pPr>
        <w:widowControl w:val="0"/>
        <w:spacing w:line="251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до  участі в конкурсі  на закупівлю гідравлічного пресу в рамках проєкту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Відновлення та посилення спроможностей громад (HREF)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для громад Харківської   област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і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10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5"/>
        <w:gridCol w:w="3090"/>
        <w:gridCol w:w="915"/>
        <w:gridCol w:w="885"/>
        <w:gridCol w:w="5145"/>
        <w:tblGridChange w:id="0">
          <w:tblGrid>
            <w:gridCol w:w="975"/>
            <w:gridCol w:w="3090"/>
            <w:gridCol w:w="915"/>
            <w:gridCol w:w="885"/>
            <w:gridCol w:w="51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Лот №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Найменування та опис послуги: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Од. Вим.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К-ть послуг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Деталізація специфікації: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Гідравлічний прес 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• Зусилля пресування – 50 тонн</w:t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• Потужність електродвигуна – 27,5 кВт</w:t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• Робочий тиск у гідросистемі – 160 бар</w:t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• Живлення – трифазна мережа, 380 В, 50 Гц</w:t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• Продуктивність – до 1 500 кг відходів на годину</w:t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• Орієнтовна вага одного спресованого блоку – від 200 до 500 кг</w:t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• Орієнтовні габарити пресованого блоку – до 1200 × 800 × 800 мм</w:t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• Тип вивантаження – автоматичне або напівавтоматичне виштовхування кипи</w:t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• Розміри обладнання – близько 7000 × 1400 × 2700 мм</w:t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• Вага преса – приблизно 6 500 кг</w:t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• Система безпеки – аварійна зупинка, захисні дверцята, датчики закриття</w:t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Спеціальні умови:</w:t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1.  Ціна пропозиції має включати всі можливі витрати постачальника, у тому числі податки, збори, транспортні, пакувальні та інші супутні витрати.</w:t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2. Замовник залишає за собою право не викуповувати окремі позиції у переможця, якщо вони не відповідають технічним вимогам або характеристикам, визначеним у специфікації. У такому випадку відповідні позиції можуть бути передані учаснику, який запропонував наступну найнижчу ціну за цими позиціями.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3. Пропозиція має охоплювати повну кількості одиниць у межах одного лоту. У разі, якщо учасник подає неповну пропозицію за лотом, така пропозиція не розглядатиметься.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4. Просимо постачальників надавати свої пропозиції у форматі, максимально наближеному до наведеної технічної специфікації.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5. У вартість товару обов’язково має бути включена доставка до місця призначення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в Валківська громада Харківської  області.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Точна адреса доставки буде повідомлена під час укладання Договору.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6.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Всі товари, що поставляються повинні бути цілими, новими, такими, що не були у використанні в т.ч в якості демонстраційного зразка та не експонувалися на виставках, без пошкоджень заводської упаковки та її змісту, мати відповідне маркування.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</w:r>
    </w:p>
    <w:p w:rsidR="00000000" w:rsidDel="00000000" w:rsidP="00000000" w:rsidRDefault="00000000" w:rsidRPr="00000000" w14:paraId="0000002B">
      <w:pPr>
        <w:jc w:val="lef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850" w:right="81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tabs>
        <w:tab w:val="center" w:leader="none" w:pos="4677"/>
        <w:tab w:val="right" w:leader="none" w:pos="9355"/>
      </w:tabs>
      <w:jc w:val="center"/>
      <w:rPr/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1383506" cy="366713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3506" cy="3667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F8756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1" w:customStyle="1">
    <w:name w:val="Без інтервалів1"/>
    <w:rsid w:val="00F8756E"/>
    <w:pPr>
      <w:spacing w:after="0" w:line="240" w:lineRule="auto"/>
    </w:pPr>
    <w:rPr>
      <w:rFonts w:ascii="Calibri" w:cs="Times New Roman" w:eastAsia="Times New Roman" w:hAnsi="Calibri"/>
      <w:lang w:val="ru-RU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zmB7rvMjdPnYhAlKMU0LVcn7oQ==">CgMxLjA4AHIhMWFNWDRKTV9ubFNDVEdHSG4tVGNxb2N4dE83akNndVN1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2023-05-03T08:43:00Z</dcterms:created>
  <dc:creator>Наталия Бут</dc:creator>
</cp:coreProperties>
</file>